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喀什地区农产品质量安全检验检测项目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喀什地区农产品质量安全农作物种子质量监督综合检验检测中心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林秀学</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中华人民共和国农产品质量安全法》、《农产品质量安全监测管理办法》相关规定，旨在及时掌握喀什地区农产品质量安全整体情况，牢牢守住农产品质量安全底线，保障全地区各族人民群众“舌尖上的安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用于喀什地区农产品质量安全检测。根据地区农业农村局制定印发的2023年例行监测及监督抽查方案要求，2022年12月至2023年10月主要对喀什市、巴楚县、伽师县、疏勒县、疏附县、莎车县、叶城县、泽普县、麦盖提县、英吉沙县、岳普湖县、塔什库尔干县共12个县（市）开展了农产品例行监测及监督抽查任务。共抽检蔬菜水果、畜禽样品共计1312个，检测项目按NY/T 761-2008规定检测溴氰菊酯、氯氟氰菊酯、三唑酮、腐霉利、甲氰菊酯、联苯菊酯、毒死蜱、甲拌磷、三唑磷、乐果、倍硫磷、杀扑磷等42种常用农药及禁限用残留。依据GB 2763-2016《食品中农药最大残留限量》标准进行判定，合格样品1312个，合格率为100%。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地区农产品质检中心为参公管理的正科级事业单位，全额财政拨款。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编制人数18人，其中参公人员编制17人、工勤1人。实有在职人数16人，其中：参公15人、工勤1人。离退休人员7人，其中：参公退休人员7人。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喀什地区农产品质量安全检验检测项目【2020】16号共安排下达资金99.6万元，为财政拨款资金，最终确定项目资金总数为99.6万元。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截至2023年12月31日，实际支出99.6万元，预算执行率100%。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国家及自治区相关要求，地区级农产品检验检测中心需完成千人0.5批次即1300批次的检测任务，其中种植业蔬菜及水果产品监测比例不低于90%即1170批次，畜禽产品和水产品监测比例不低于10%即130批次，确保喀什地区主要农产品、畜产品、水产品、林果产品质量安全检测率达90%以上，农产品质量安全总体合格率不低于97%，不发生重大农产品质量安全事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地区农产品质检中心将对喀什地区生产及销售的农产品开展无缝隙、多频次例行监测，对喀什地区使用频次较高的农药开展重点监测，对节前开展监督抽查，为确保喀什全区各族群众“舌尖上的安全”提供有力技术支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喀什地区农产品质量安全检验检测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喀什地区农产品质量安全检验检测项目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我单位更好地完成农产品质量安全检验检测工作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社会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张春红任评价组组长，绩效评价工作职责为负责全盘工作。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吕建飞任评价组副组长，绩效评价工作职责为为对项目实施情况进行实地调查。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林秀学任评价组成员，绩效评价工作职责为负责资料审核等工作。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喀什地区农产品质量安全检验检测项目产生喀什地区主要农产品、畜产品、水产品、林果产品质量安全检测率达90%以上，农产品质量安全总体合格率不低于97%，不发生重大农产品质量安全事件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自治区及地区关于农产品质量安全检验检测任务立项，项目实施符合《中华人民共和国农产品质量安全法》、《农产品质量安全监测管理办法》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喀什地区农产品质量安全检验检测项目预算安排99.6万元，实际支出99.6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产出：蔬菜产品监测数量大于等于1040批次，水果产品监测数量大于等于130批次，畜禽产品监测数量大于等于130批次，对喀什地区主要种植业农产品、林果产品质量安全检测率达90%以上，农产品质量安全总体合格率不低于97%，不发生重大农产品质量安全事件。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对喀什地区种植业产品农药使用情况进行监测，了解到喀什地区需加强对限用农药毒死蜱、氧乐果及常规农药腐霉利、七氯、乙烯菌核利及其它菊酯类农药的监测，并加大对科学用药的宣传指导。为喀什地区农产品质量安全监管提供了有效科学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农产品质量安全检验检测项目项目进行客观评价，最终评分结果：评价总分99.71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项目决策类指标包括项目立项、绩效目标和资金投入三方面的内容，由10个三级指标构成，权重分为15分，实际得分15分，得分率为100%。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农产品质量安全检测法》及喀什地区农产品检验检测项目实施方案，结合喀什地区农产品质量安全农作物种子质量监督综合检验检测中心职责，并组织实施。围绕喀什地区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农产品质量安全检测法》及喀什地区农产品检验检测项目项目实施方案，决策依据编制工作计划和经费预算，经过与与自治区农产品质检机构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（3）绩效目标合理性：制定了喀什地区农产品质量安全检验检测项目实施方案，明确了总体思路及目标、并对任务进行了详细分解，对目标进行了细化，根据评分标准，该指标不扣分，得3分。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将项目绩效目标细化分解为具体的绩效指标，一级指标4个，二级指标6个，三级指标10个，根据评分标准，该指标不扣分，得2分。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蔬菜产品监测数量大于等于1040批次，水果产品监测数量大于等于130批次，蔬菜产品监测成本小于等于76.98万元，水果产品监测成本小于等于9.62万元，畜禽产品监测成本小于等于13万元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蔬菜产品监测成本小于等于76.98万元，蔬菜产品监测数量大于等于1040批次；水果产品监测成本小于等于9.62万元，水果产品监测数量大于等于130批次；畜禽产品监测成本小于等于13万元，畜禽产品监测数量大于等于130批次；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（1）资金到位率：预算执行率=（实际支出资金/实际到位资金）×100%，100%=（99.6/99.6）×100%，财政资金99.6万足额拨付到位，根据评分标准，该指标不扣分，得3分。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（2）预算执行率：预算执行率=（实际支出资金/实际到位资金）×100%，100%=（99.6/99.6）×100%，预算编制较为详细，项目资金支出总体能够按照预算执行，根据评分标准，该指标不扣分，得3分。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（3）资金使用合规性：制定了喀什地区农产品质量安全农作物种子质量监督综合检验检测中心相关制度和管理规定对经费使用进行规范管理，财务制度健全、执行严格，根据评分标准，该指标不扣分，得4分。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（4）管理制度健全性：制定了喀什地区农产品质量安全农作物种子质量监督综合检验检测中心财务相关管理办法，对财政专项资金进行严格管理，基本做到了专款专用，根据评分标准，该指标不扣分，得5分。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喀什地区农产品质量安全农作物种子质量监督综合检验检测中心提出经费预算支出可行性方案，经过与喀什地区农业农村局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项目产出类指标包括产出数量、产出质量、产出时效、产出成本四方面的内容，由8个三级指标构成，权重分为45分，实际得分44.71分，得分率为99.36%。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蔬菜产品监测数量指标，预期指标值为大于等于1040批次，实际完成值为等于1040批次，指标完成率为100%，与预期目标一致，根据评分标准，该指标不扣分，得3分。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水果产品监测数量指标，预期指标值为大于等于130批次，实际完成值为等于139批次，指标完成率为106.92%，与预期目标略有差异，实际水果产品监测数量超出预期目标完成，导致出现偏差。改进措施：今后在项目执行上严格按照项目实施方案执行。根据评分标准，该指标扣0.21分，得2.79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畜禽产品监测数量指标，预期指标值为大于等于130批次，实际完成值为等于133批次，指标完成率为102%，与预期目标略有差异，因3批次畜禽产品检测无效，导致重复检测，继而监测数据超过预期目标；改进措施：在畜禽产品监测的过程中必当更加严格、谨慎。根据评分标准，该指标扣0.08分，得3.92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合计得9.71分。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农产品生产基地、生产品种覆盖率指标，预期指标值为100%，实际完成值为100%，指标完成率为100%，与预期目标一致，根据评分标准，该指标不扣分，得10分。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监测任务完成时间指标，预期指标值为2023年12月31日，实际完成值为2023年12月31日，指标完成率为100%，与预期目标一致，根据评分标准，该指标不扣分，得10分。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蔬菜产品监测成本指标，预期指标值为小于等于76.98万元，实际完成值为76.98万元，指标完成率为100%项目经费都能控制绩效目标范围内，根据评分标准，该指标不扣分，得5分。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水果产品监测成本指标，预期指标值为小于等于9.62万元，实际完成值为9.62万元，指标完成率为100%，项目经费都能控制绩效目标范围内，根据评分标准，该指标不扣分，得5分。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畜禽产品监测成本指标，预期指标值为小于等于13.0万元，实际完成值为13.0万元，指标完成率为100%，项目经费都能控制绩效目标范围内，根据评分标准，该指标不扣分，得5分。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减少农产品安全事故指标，该指标预期指标值为减少，实际完成值为减少，指标完成率为100%，与预期指标一致，根据评分标准，该指标不扣分，得10分。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对于“满意度指标：受惠农户满意度100%，该指标预期指标值为100%，实际完成值为98.88%，指标完成率为98.88%，与预期指标一致，根据评分标准，该指标不扣分,得10分。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农产品质量安全检验检测项目预算99.6万元，到位99.6万元，实际支出99.6万元，预算执行率为100%，项目绩效指标总体完成率为100.8%，偏差率为0.8%。偏差原因：实际水果产品、畜禽产品监测数量超出预期目标完成及满意度指标未达到100%，导致出现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中心成立了由中心副主任主管财务支出审批及管理、专人负责项目采购、纪检委员负责监督、会计和出纳负责具体财务各项事宜的财务支出领导小组；二是项目资金实行“专人管理、专户储存、专账核算、专款专用"的原则，严格执行支出有计划、支出有审核、支出有程序的原则，凡是涉及到项目的采购必须通过政采云平台进行，同时超过5000元的支出必须召开支部会议通过才能支出，做到资金支出合法合规。三是为了确保项目资金符合项目资金绩效目标，本中心提前谋划，制定好项目采购计划及采购意向公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二是自评价工作还存在自我审定的局限性，会影响评价质量，容易造成问题的疏漏，在客观性和公正性上说服力不强。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针对本项目出现支出进度较慢、部分实施内容未严格按照预算方案实施的情况，需更加细化实施方案，提前做好谋划，执行资金管理办法和财政资金管理制度，严格按照项目实施方案、项目采购管理办法等稳步推进工作，提前做好项目支出计划，确保各项支出能够按期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8A0301E"/>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autoRedefine/>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autoRedefine/>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autoRedefine/>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autoRedefine/>
    <w:qFormat/>
    <w:uiPriority w:val="10"/>
    <w:rPr>
      <w:rFonts w:asciiTheme="majorHAnsi" w:hAnsiTheme="majorHAnsi" w:eastAsiaTheme="majorEastAsia"/>
      <w:b/>
      <w:bCs/>
      <w:kern w:val="28"/>
      <w:sz w:val="32"/>
      <w:szCs w:val="32"/>
    </w:rPr>
  </w:style>
  <w:style w:type="character" w:customStyle="1" w:styleId="30">
    <w:name w:val="副标题 字符"/>
    <w:basedOn w:val="17"/>
    <w:link w:val="14"/>
    <w:autoRedefine/>
    <w:qFormat/>
    <w:uiPriority w:val="11"/>
    <w:rPr>
      <w:rFonts w:asciiTheme="majorHAnsi" w:hAnsiTheme="majorHAnsi" w:eastAsiaTheme="majorEastAsia"/>
      <w:sz w:val="24"/>
      <w:szCs w:val="24"/>
    </w:rPr>
  </w:style>
  <w:style w:type="paragraph" w:styleId="31">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autoRedefine/>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autoRedefine/>
    <w:qFormat/>
    <w:uiPriority w:val="99"/>
    <w:rPr>
      <w:rFonts w:ascii="Calibri" w:hAnsi="Calibri" w:eastAsia="宋体"/>
      <w:kern w:val="2"/>
      <w:sz w:val="18"/>
      <w:szCs w:val="18"/>
    </w:rPr>
  </w:style>
  <w:style w:type="character" w:customStyle="1" w:styleId="45">
    <w:name w:val="批注框文本 字符"/>
    <w:basedOn w:val="17"/>
    <w:link w:val="11"/>
    <w:autoRedefine/>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2024-08-16T09:46:03Z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4D5F5B6C17C04617B49F55B4B540F1E1_13</vt:lpwstr>
  </property>
</Properties>
</file>